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孟州市市本级政府</w:t>
      </w:r>
      <w:r>
        <w:rPr>
          <w:rFonts w:hint="eastAsia" w:ascii="宋体" w:hAnsi="宋体" w:eastAsia="宋体" w:cs="宋体"/>
          <w:b/>
          <w:sz w:val="44"/>
          <w:szCs w:val="44"/>
        </w:rPr>
        <w:t>预算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说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一、地方一般公共预算总收入安排情况</w:t>
      </w:r>
    </w:p>
    <w:p>
      <w:pPr>
        <w:tabs>
          <w:tab w:val="left" w:pos="280"/>
        </w:tabs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109380</w:t>
      </w:r>
      <w:r>
        <w:rPr>
          <w:rFonts w:hint="eastAsia" w:ascii="仿宋" w:hAnsi="仿宋" w:eastAsia="仿宋"/>
          <w:sz w:val="32"/>
          <w:szCs w:val="32"/>
        </w:rPr>
        <w:t>万元，较上年</w:t>
      </w:r>
      <w:r>
        <w:rPr>
          <w:rFonts w:hint="eastAsia" w:ascii="仿宋" w:hAnsi="仿宋" w:eastAsia="仿宋"/>
          <w:sz w:val="32"/>
          <w:szCs w:val="32"/>
          <w:lang w:eastAsia="zh-CN"/>
        </w:rPr>
        <w:t>决算（执行数）增长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9.4</w:t>
      </w:r>
      <w:r>
        <w:rPr>
          <w:rFonts w:hint="eastAsia" w:ascii="仿宋" w:hAnsi="仿宋" w:eastAsia="仿宋"/>
          <w:sz w:val="32"/>
          <w:szCs w:val="32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82789</w:t>
      </w:r>
      <w:r>
        <w:rPr>
          <w:rFonts w:hint="eastAsia" w:ascii="仿宋" w:hAnsi="仿宋" w:eastAsia="仿宋"/>
          <w:sz w:val="32"/>
          <w:szCs w:val="32"/>
        </w:rPr>
        <w:t>万元，较上年</w:t>
      </w:r>
      <w:r>
        <w:rPr>
          <w:rFonts w:hint="eastAsia" w:ascii="仿宋" w:hAnsi="仿宋" w:eastAsia="仿宋"/>
          <w:sz w:val="32"/>
          <w:szCs w:val="32"/>
          <w:lang w:eastAsia="zh-CN"/>
        </w:rPr>
        <w:t>决算（执行数）增</w:t>
      </w:r>
      <w:r>
        <w:rPr>
          <w:rFonts w:hint="eastAsia" w:ascii="仿宋" w:hAnsi="仿宋" w:eastAsia="仿宋"/>
          <w:sz w:val="32"/>
          <w:szCs w:val="32"/>
        </w:rPr>
        <w:t>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16.2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26591万元，较上年决算（执行数）下降7.4%。</w:t>
      </w:r>
      <w:r>
        <w:rPr>
          <w:rFonts w:hint="eastAsia" w:ascii="仿宋" w:hAnsi="仿宋" w:eastAsia="仿宋"/>
          <w:sz w:val="32"/>
          <w:szCs w:val="32"/>
          <w:lang w:eastAsia="zh-CN"/>
        </w:rPr>
        <w:t>主要税种安排情况：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16784</w:t>
      </w:r>
      <w:r>
        <w:rPr>
          <w:rFonts w:hint="eastAsia"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4.6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1195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eastAsia="zh-CN"/>
        </w:rPr>
        <w:t>主要原因是：受疫情影响，主要企业收入预计减收。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个人所得2809万元，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61.4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2904万元，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3.8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200万元，较上年决算（执行数）增长55%。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58897万元，较上年决算（执行数）增长21.9%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105407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、其他返还性收入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24520万元。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10552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4387万元、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2274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1709万元、固定数额补助16229万元、欠发达地区转移支付1158万元、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854万元、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5579万元、文化旅游体育与传媒共同财政事权转移支付收入357万元、社会保障和就业共同财政事权转移支付收4888万元、医疗卫生共同财政事权转移支付收入3190万元、农林水共同财政事权转移支付收入12150万元、交通运输共同财政事权转移支付收入3719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科学技术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191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134万元、节能环保1096万元、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471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、资源勘探信息等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4200万元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4380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67753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，上解收入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14879万元，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调入资金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3500万元。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109380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305299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，比去年决算（执行数）增长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3.1%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2022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孟州市市本级市本级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一般公共预算支出情况的说明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宋体"/>
          <w:kern w:val="2"/>
          <w:sz w:val="32"/>
          <w:szCs w:val="32"/>
        </w:rPr>
        <w:t>年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 w:cs="宋体"/>
          <w:kern w:val="2"/>
          <w:sz w:val="32"/>
          <w:szCs w:val="32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305299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253684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万元，上解支出安排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51470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地方政府一般债务还本支出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145万元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。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（一）地方级主要支出安排情况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一般公共预算支出253684万元，为上年执行数的155.4%。其中：人员和公用经费等基本支出73858万元，占比29.1%；项目支出179826万元，占比70.9%。主</w:t>
      </w:r>
      <w:r>
        <w:rPr>
          <w:rFonts w:hint="eastAsia" w:ascii="仿宋" w:hAnsi="仿宋" w:eastAsia="仿宋" w:cs="宋体"/>
          <w:kern w:val="2"/>
          <w:sz w:val="32"/>
          <w:szCs w:val="32"/>
        </w:rPr>
        <w:t>要支出功能科目是：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24338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159.1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260万元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12927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56623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219.7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5979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80.4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2236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319.4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34008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23033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9220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156.1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9371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171.3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34100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241.4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14512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235.7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6074万元；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510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435.9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510万元，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435.9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16、住房保障支出6907万元，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174.8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718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460.3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2572万元，占上年决算（执行）数的143.5%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5785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105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以上科目支出占上年决算（执行）数比例较高的主要原因是：支出预算数据包含上年结转数。</w:t>
      </w:r>
    </w:p>
    <w:p>
      <w:pPr>
        <w:spacing w:line="600" w:lineRule="exact"/>
        <w:ind w:firstLine="482" w:firstLineChars="15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>2022年预计上解支出51470万元，主要为原体制上解2201万元，固定及基数性上解6021万元，其他省（市）级一般公共预算收入分成、增量等各项上解43248万元。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20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157851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增长25%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其中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50500万元，上级补助收入4438万元，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36500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，上年结余收入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66413万元。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其中：</w:t>
      </w:r>
    </w:p>
    <w:p>
      <w:pPr>
        <w:widowControl/>
        <w:autoSpaceDN w:val="0"/>
        <w:spacing w:line="560" w:lineRule="atLeast"/>
        <w:ind w:firstLine="643" w:firstLineChars="20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50500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增长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13.8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主要收入项目是：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1、国有土地收益基金收入安排800万元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；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45000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4、城市基础设施配套费收入安排2500万元；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4438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3837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水利移民扶持专项128万元、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66413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、20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157851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144658万元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102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3000万元，专项债务还本支出10091万元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1万元。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7221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45692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296万元，主要用于水利移民扶持项目。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85573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地方自行试点项目收益专项债券收入安排的支出、社会福利、残疾人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5875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第三章    孟州市市本级社会保险基金预算收支情况说明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jc w:val="left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    由于我市社会保险基金预算包含市本级和乡镇预算，未独立核算市本级社保基金预算，因此市本级暂未编制社保基金预算。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孟州市市本级国有资本经营预算收支情况说明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 xml:space="preserve">    2022年孟州市国有资本经营预算收入为79万元，其中：上级转移支付收入为30万元，上年结转49万元。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 xml:space="preserve">    2022年孟州市国有资本经营预算支出为79万元，主要用于国有企业退休人员社会化管理补助支出。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孟州市市本级“三公”经费预算安排情况说明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lang w:eastAsia="zh-CN"/>
        </w:rPr>
      </w:pP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市本级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部门预算，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2022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890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19.2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，减少支出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211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因公出国（境）费0万元，与2021年持平。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公务接待安排341万元，比2021年下降4.5%，减少支出16万元，下降主要原因是严格执行八项规定，压缩公务活动接待。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396万元，比2021年下降32.5%,减少支出191万元。其中：车辆购置132万元，比2021年下降55.7%，减少支出166万元,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原因是按照公车购置规定，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2022年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需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更新购置公务用车减少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264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2021年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8.7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,减少支出25万元，主要原因是严格控制使用公务用车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 xml:space="preserve">  孟州市市本级债务情况说明</w:t>
      </w:r>
    </w:p>
    <w:p>
      <w:pPr>
        <w:pStyle w:val="2"/>
        <w:rPr>
          <w:rFonts w:hint="eastAsia"/>
          <w:color w:val="0000FF"/>
          <w:lang w:val="en-US" w:eastAsia="zh-CN"/>
        </w:rPr>
      </w:pPr>
    </w:p>
    <w:p>
      <w:pPr>
        <w:pStyle w:val="2"/>
        <w:numPr>
          <w:ilvl w:val="0"/>
          <w:numId w:val="0"/>
        </w:numPr>
        <w:ind w:right="0" w:righ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2021年末，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市政府债务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限额为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380393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元，其中：一般债务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197993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182400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我市地方政府性债务总规模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342970万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元，其中一般债务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171956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171014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元。综上所述，我市地方债务规模严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格控制在规定限额之内。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1、2021年末一般债务限额情况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191993万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2021年当年新增一般债务限额6000万元，2021年末我市一般债务限额为197993万元。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2、2021年末一般债务余额情况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166844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2021年当年新增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38900万元，减去2021年一般债务还本支出33787万元，2021年末我市一般债务余额为171957万元。我市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专项债务限额和余额情况说明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1、2021年末专项债务限额情况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109600万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2021年当年新增专项债务限额72800万元，2021年末我市专项债务限额为182400万元。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2、2021年末专项债务余额情况</w:t>
      </w:r>
    </w:p>
    <w:p>
      <w:pPr>
        <w:pStyle w:val="2"/>
        <w:rPr>
          <w:rFonts w:hint="eastAsia"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101489万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2021年当年新增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73100万元，减去当年还本支出3575万元，2021年末专项债务余额为171014万元。我市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政府专项债务规模严格控制在规定限额之内。</w:t>
      </w: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孟州市市本级政府预算公开附表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2022年孟州市市本级一般公共预算收支情况总表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表二：2022年孟州市市本级一般公共预算收入情况表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表三：2022年孟州市市本级一般公共预算支出情况表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表四：2022年孟州市市本级一般公共预算支出明细表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基本支出政府经济分类明细表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表六：2022年孟州市市本级一般公共预算收入返还和转移支付情况表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表七:  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政府性基金预算收支总表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政府性基金预算收入总表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表九:  2022年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政府性基金预算支出总表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政府性基金预算转移支付情况表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社会保险基金收入预算表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社会保险基金支出预算表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国有资本经营预算支出情况表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国有资本经营转移性收支情况表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“三公”经费安排情况表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表十七：2022年孟州市市本级一般债务限额和余额情况表</w:t>
      </w:r>
    </w:p>
    <w:p>
      <w:pPr>
        <w:keepNext w:val="0"/>
        <w:keepLines w:val="0"/>
        <w:pageBreakBefore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表十八: 2022年孟州市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专项债务限额和余额情况表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abstractNum w:abstractNumId="4">
    <w:nsid w:val="6062D175"/>
    <w:multiLevelType w:val="singleLevel"/>
    <w:tmpl w:val="6062D175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3245CC9"/>
    <w:rsid w:val="099A47BF"/>
    <w:rsid w:val="09DE0604"/>
    <w:rsid w:val="0A2A16A3"/>
    <w:rsid w:val="0AF40469"/>
    <w:rsid w:val="0DCF7188"/>
    <w:rsid w:val="0E206200"/>
    <w:rsid w:val="0F622D2A"/>
    <w:rsid w:val="0F9336A6"/>
    <w:rsid w:val="10524E90"/>
    <w:rsid w:val="124F7DA7"/>
    <w:rsid w:val="14D4448D"/>
    <w:rsid w:val="14F405E4"/>
    <w:rsid w:val="1620152F"/>
    <w:rsid w:val="16C4041F"/>
    <w:rsid w:val="17710B05"/>
    <w:rsid w:val="18E53215"/>
    <w:rsid w:val="1A3A5F3C"/>
    <w:rsid w:val="1A3D74C1"/>
    <w:rsid w:val="1A954EA6"/>
    <w:rsid w:val="1BF7377F"/>
    <w:rsid w:val="1CA93B54"/>
    <w:rsid w:val="1D19328F"/>
    <w:rsid w:val="1EA3393E"/>
    <w:rsid w:val="1EDD385F"/>
    <w:rsid w:val="1FDD7CEF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AE92A88"/>
    <w:rsid w:val="2B8539BD"/>
    <w:rsid w:val="2B907346"/>
    <w:rsid w:val="2C4331E6"/>
    <w:rsid w:val="2D26469B"/>
    <w:rsid w:val="2DC57BC6"/>
    <w:rsid w:val="2EFA2DE8"/>
    <w:rsid w:val="30B21CEC"/>
    <w:rsid w:val="31DE5565"/>
    <w:rsid w:val="334D4569"/>
    <w:rsid w:val="33555904"/>
    <w:rsid w:val="35733E82"/>
    <w:rsid w:val="36C43173"/>
    <w:rsid w:val="37A852B1"/>
    <w:rsid w:val="39B14056"/>
    <w:rsid w:val="3A032C4B"/>
    <w:rsid w:val="3BAB6A3B"/>
    <w:rsid w:val="3CEA0150"/>
    <w:rsid w:val="3E5B4BF4"/>
    <w:rsid w:val="3EBB6A19"/>
    <w:rsid w:val="3FC669C5"/>
    <w:rsid w:val="416E75DC"/>
    <w:rsid w:val="41AC1C80"/>
    <w:rsid w:val="46FD78E0"/>
    <w:rsid w:val="47C2595A"/>
    <w:rsid w:val="48A25503"/>
    <w:rsid w:val="4C0B2484"/>
    <w:rsid w:val="4E0648D2"/>
    <w:rsid w:val="4E8F495B"/>
    <w:rsid w:val="4EDC1E3B"/>
    <w:rsid w:val="501739F6"/>
    <w:rsid w:val="5070374C"/>
    <w:rsid w:val="50F90C6F"/>
    <w:rsid w:val="51404248"/>
    <w:rsid w:val="5362780A"/>
    <w:rsid w:val="53B17AD8"/>
    <w:rsid w:val="54D26144"/>
    <w:rsid w:val="54E73AE7"/>
    <w:rsid w:val="58E660B7"/>
    <w:rsid w:val="59293748"/>
    <w:rsid w:val="5BEB7851"/>
    <w:rsid w:val="5BED235E"/>
    <w:rsid w:val="5C8239C9"/>
    <w:rsid w:val="5E2C5EEC"/>
    <w:rsid w:val="61431229"/>
    <w:rsid w:val="61D63DD9"/>
    <w:rsid w:val="641E0553"/>
    <w:rsid w:val="64823033"/>
    <w:rsid w:val="653A6C3E"/>
    <w:rsid w:val="65CF63A9"/>
    <w:rsid w:val="67D0487F"/>
    <w:rsid w:val="684D6B79"/>
    <w:rsid w:val="69C43A35"/>
    <w:rsid w:val="6B2E6E5E"/>
    <w:rsid w:val="6DA63B47"/>
    <w:rsid w:val="6DCA6C71"/>
    <w:rsid w:val="71C202F6"/>
    <w:rsid w:val="728745C7"/>
    <w:rsid w:val="74172F92"/>
    <w:rsid w:val="744352BB"/>
    <w:rsid w:val="75723D10"/>
    <w:rsid w:val="771B1325"/>
    <w:rsid w:val="772824F9"/>
    <w:rsid w:val="775951B3"/>
    <w:rsid w:val="78DB0F3F"/>
    <w:rsid w:val="7A0623A8"/>
    <w:rsid w:val="7C066472"/>
    <w:rsid w:val="7C5C2B99"/>
    <w:rsid w:val="7D8D113E"/>
    <w:rsid w:val="7F3752D0"/>
    <w:rsid w:val="7FDF66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</Pages>
  <Words>3747</Words>
  <Characters>4531</Characters>
  <Lines>0</Lines>
  <Paragraphs>0</Paragraphs>
  <TotalTime>38</TotalTime>
  <ScaleCrop>false</ScaleCrop>
  <LinksUpToDate>false</LinksUpToDate>
  <CharactersWithSpaces>4627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cp:lastPrinted>2022-05-15T09:10:00Z</cp:lastPrinted>
  <dcterms:modified xsi:type="dcterms:W3CDTF">2022-05-17T08:44:27Z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862349F04BCD4C20BF42DA68583B338C</vt:lpwstr>
  </property>
</Properties>
</file>